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CD89E" w14:textId="0893396E" w:rsidR="007160C7" w:rsidRPr="005833DB" w:rsidRDefault="00846FD9" w:rsidP="00875971">
      <w:pPr>
        <w:pStyle w:val="Title"/>
        <w:pBdr>
          <w:top w:val="single" w:sz="12" w:space="1" w:color="124F1A" w:themeColor="accent3" w:themeShade="BF"/>
        </w:pBdr>
        <w:jc w:val="center"/>
        <w:rPr>
          <w:lang w:val="fr-CH"/>
        </w:rPr>
      </w:pPr>
      <w:r>
        <w:rPr>
          <w:lang w:val="fr-CH"/>
        </w:rPr>
        <w:t>Soutenir l’insight</w:t>
      </w:r>
    </w:p>
    <w:p w14:paraId="1B8EF01B" w14:textId="77777777" w:rsidR="007160C7" w:rsidRPr="007160C7" w:rsidRDefault="007160C7" w:rsidP="007160C7">
      <w:pPr>
        <w:pStyle w:val="Heading2"/>
        <w:rPr>
          <w:rFonts w:ascii="Arial" w:hAnsi="Arial" w:cs="Arial"/>
          <w:lang w:val="fr-CH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15"/>
        <w:gridCol w:w="4315"/>
      </w:tblGrid>
      <w:tr w:rsidR="007160C7" w14:paraId="7AD21FAD" w14:textId="77777777" w:rsidTr="007160C7">
        <w:tc>
          <w:tcPr>
            <w:tcW w:w="2500" w:type="pct"/>
          </w:tcPr>
          <w:p w14:paraId="4FD552A9" w14:textId="20D6E8AD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faire</w:t>
            </w:r>
          </w:p>
        </w:tc>
        <w:tc>
          <w:tcPr>
            <w:tcW w:w="2500" w:type="pct"/>
          </w:tcPr>
          <w:p w14:paraId="45D0EAF2" w14:textId="4DC405A3" w:rsidR="007160C7" w:rsidRDefault="007160C7" w:rsidP="001A6654">
            <w:pPr>
              <w:pStyle w:val="Heading2"/>
              <w:jc w:val="center"/>
              <w:rPr>
                <w:rFonts w:ascii="Arial" w:hAnsi="Arial" w:cs="Arial"/>
                <w:lang w:val="fr-CH"/>
              </w:rPr>
            </w:pPr>
            <w:r w:rsidRPr="007160C7">
              <w:rPr>
                <w:rFonts w:ascii="Arial" w:hAnsi="Arial" w:cs="Arial"/>
                <w:lang w:val="fr-CH"/>
              </w:rPr>
              <w:t>À éviter</w:t>
            </w:r>
          </w:p>
        </w:tc>
      </w:tr>
      <w:tr w:rsidR="007160C7" w:rsidRPr="00846FD9" w14:paraId="19E0320A" w14:textId="77777777" w:rsidTr="007160C7">
        <w:tc>
          <w:tcPr>
            <w:tcW w:w="2500" w:type="pct"/>
          </w:tcPr>
          <w:p w14:paraId="0148F8FE" w14:textId="77777777" w:rsidR="00846FD9" w:rsidRPr="00846FD9" w:rsidRDefault="00846FD9" w:rsidP="00846FD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46FD9">
              <w:rPr>
                <w:rStyle w:val="Strong"/>
                <w:b w:val="0"/>
                <w:bCs w:val="0"/>
                <w:lang w:val="fr-CH"/>
              </w:rPr>
              <w:t>Encourager le patient à verbaliser ou symboliser ce qu’il a compris, sans chercher à en forcer la cohérence immédiate.</w:t>
            </w:r>
          </w:p>
          <w:p w14:paraId="6784D5C1" w14:textId="77777777" w:rsidR="00846FD9" w:rsidRPr="00846FD9" w:rsidRDefault="00846FD9" w:rsidP="00846FD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46FD9">
              <w:rPr>
                <w:rStyle w:val="Strong"/>
                <w:b w:val="0"/>
                <w:bCs w:val="0"/>
                <w:lang w:val="fr-CH"/>
              </w:rPr>
              <w:t>Accueillir les moments d’illumination comme des points de départ, non comme des conclusions définitives.</w:t>
            </w:r>
          </w:p>
          <w:p w14:paraId="6E0930C4" w14:textId="77777777" w:rsidR="00846FD9" w:rsidRPr="00846FD9" w:rsidRDefault="00846FD9" w:rsidP="00846FD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46FD9">
              <w:rPr>
                <w:rStyle w:val="Strong"/>
                <w:b w:val="0"/>
                <w:bCs w:val="0"/>
                <w:lang w:val="fr-CH"/>
              </w:rPr>
              <w:t>Aider le patient à relier l’insight à son histoire de vie, à ses schémas relationnels et à ses objectifs thérapeutiques.</w:t>
            </w:r>
          </w:p>
          <w:p w14:paraId="71A0CAD5" w14:textId="77777777" w:rsidR="00846FD9" w:rsidRPr="00846FD9" w:rsidRDefault="00846FD9" w:rsidP="00846FD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46FD9">
              <w:rPr>
                <w:rStyle w:val="Strong"/>
                <w:b w:val="0"/>
                <w:bCs w:val="0"/>
                <w:lang w:val="fr-CH"/>
              </w:rPr>
              <w:t>Soutenir une mise en sens progressive, en revenant sur l’insight dans les séances d’intégration ultérieures.</w:t>
            </w:r>
          </w:p>
          <w:p w14:paraId="4607F246" w14:textId="77777777" w:rsidR="00846FD9" w:rsidRPr="00846FD9" w:rsidRDefault="00846FD9" w:rsidP="00846FD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46FD9">
              <w:rPr>
                <w:rStyle w:val="Strong"/>
                <w:b w:val="0"/>
                <w:bCs w:val="0"/>
                <w:lang w:val="fr-CH"/>
              </w:rPr>
              <w:t>Mettre en valeur le caractère expérientiel et émotionnel de l’insight : reconnaître ce qu’il fait ressentir autant que ce qu’il révèle.</w:t>
            </w:r>
          </w:p>
          <w:p w14:paraId="39E64C22" w14:textId="77777777" w:rsidR="00846FD9" w:rsidRPr="00846FD9" w:rsidRDefault="00846FD9" w:rsidP="00846FD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46FD9">
              <w:rPr>
                <w:rStyle w:val="Strong"/>
                <w:b w:val="0"/>
                <w:bCs w:val="0"/>
                <w:lang w:val="fr-CH"/>
              </w:rPr>
              <w:t>Favoriser l’appropriation active : comment ce que j’ai compris peut se traduire en choix ou en attitudes concrètes.</w:t>
            </w:r>
          </w:p>
          <w:p w14:paraId="530392FC" w14:textId="77777777" w:rsidR="00846FD9" w:rsidRPr="00846FD9" w:rsidRDefault="00846FD9" w:rsidP="00846FD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46FD9">
              <w:rPr>
                <w:rStyle w:val="Strong"/>
                <w:b w:val="0"/>
                <w:bCs w:val="0"/>
                <w:lang w:val="fr-CH"/>
              </w:rPr>
              <w:t>Normaliser le fait que certains insights évoluent ou perdent de leur intensité avec le temps.</w:t>
            </w:r>
          </w:p>
          <w:p w14:paraId="6A1620EA" w14:textId="4B2AB732" w:rsidR="00875971" w:rsidRPr="00E01112" w:rsidRDefault="00846FD9" w:rsidP="00846FD9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46FD9">
              <w:rPr>
                <w:rStyle w:val="Strong"/>
                <w:b w:val="0"/>
                <w:bCs w:val="0"/>
                <w:lang w:val="fr-CH"/>
              </w:rPr>
              <w:t>Valoriser la curiosité et la prudence : « ce que j’ai vu est peut-être vrai pour moi maintenant, mais mérite d’être approfondi. »</w:t>
            </w:r>
          </w:p>
        </w:tc>
        <w:tc>
          <w:tcPr>
            <w:tcW w:w="2500" w:type="pct"/>
          </w:tcPr>
          <w:p w14:paraId="57347065" w14:textId="77777777" w:rsidR="00846FD9" w:rsidRPr="00846FD9" w:rsidRDefault="00846FD9" w:rsidP="00846FD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46FD9">
              <w:rPr>
                <w:rStyle w:val="Strong"/>
                <w:b w:val="0"/>
                <w:bCs w:val="0"/>
                <w:lang w:val="fr-CH"/>
              </w:rPr>
              <w:t>Ne pas présenter l’insight comme une révélation absolue ou une vérité universelle.</w:t>
            </w:r>
          </w:p>
          <w:p w14:paraId="11C8A93D" w14:textId="77777777" w:rsidR="00846FD9" w:rsidRPr="00846FD9" w:rsidRDefault="00846FD9" w:rsidP="00846FD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46FD9">
              <w:rPr>
                <w:rStyle w:val="Strong"/>
                <w:b w:val="0"/>
                <w:bCs w:val="0"/>
                <w:lang w:val="fr-CH"/>
              </w:rPr>
              <w:t>Ne pas interpréter à la place du patient ni figer la signification de son expérience.</w:t>
            </w:r>
          </w:p>
          <w:p w14:paraId="5A1134C4" w14:textId="77777777" w:rsidR="00846FD9" w:rsidRPr="00846FD9" w:rsidRDefault="00846FD9" w:rsidP="00846FD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46FD9">
              <w:rPr>
                <w:rStyle w:val="Strong"/>
                <w:b w:val="0"/>
                <w:bCs w:val="0"/>
                <w:lang w:val="fr-CH"/>
              </w:rPr>
              <w:t>Ne pas encourager la surexploitation cognitive du vécu (analyser trop vite, trop loin).</w:t>
            </w:r>
          </w:p>
          <w:p w14:paraId="61223877" w14:textId="77777777" w:rsidR="00846FD9" w:rsidRPr="00846FD9" w:rsidRDefault="00846FD9" w:rsidP="00846FD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46FD9">
              <w:rPr>
                <w:rStyle w:val="Strong"/>
                <w:b w:val="0"/>
                <w:bCs w:val="0"/>
                <w:lang w:val="fr-CH"/>
              </w:rPr>
              <w:t>Ne pas banaliser ou invalider les émotions associées à la découverte (« ce n’est qu’une impression »).</w:t>
            </w:r>
          </w:p>
          <w:p w14:paraId="78DD1155" w14:textId="77777777" w:rsidR="00846FD9" w:rsidRPr="00846FD9" w:rsidRDefault="00846FD9" w:rsidP="00846FD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46FD9">
              <w:rPr>
                <w:rStyle w:val="Strong"/>
                <w:b w:val="0"/>
                <w:bCs w:val="0"/>
                <w:lang w:val="fr-CH"/>
              </w:rPr>
              <w:t>Ne pas supposer qu’un insight implique forcément un changement durable.</w:t>
            </w:r>
          </w:p>
          <w:p w14:paraId="0DB40F1B" w14:textId="77777777" w:rsidR="00846FD9" w:rsidRPr="00846FD9" w:rsidRDefault="00846FD9" w:rsidP="00846FD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46FD9">
              <w:rPr>
                <w:rStyle w:val="Strong"/>
                <w:b w:val="0"/>
                <w:bCs w:val="0"/>
                <w:lang w:val="fr-CH"/>
              </w:rPr>
              <w:t>Ne pas utiliser le contenu de l’insight pour confirmer une hypothèse du thérapeute.</w:t>
            </w:r>
          </w:p>
          <w:p w14:paraId="4FB43A9A" w14:textId="77777777" w:rsidR="00846FD9" w:rsidRPr="00846FD9" w:rsidRDefault="00846FD9" w:rsidP="00846FD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46FD9">
              <w:rPr>
                <w:rStyle w:val="Strong"/>
                <w:b w:val="0"/>
                <w:bCs w:val="0"/>
                <w:lang w:val="fr-CH"/>
              </w:rPr>
              <w:t>Ne pas négliger le risque de désorganisation émotionnelle post-séance si l’insight est trop bouleversant.</w:t>
            </w:r>
          </w:p>
          <w:p w14:paraId="5038FDD6" w14:textId="4AB23CAA" w:rsidR="00846FD9" w:rsidRPr="00846FD9" w:rsidRDefault="00846FD9" w:rsidP="00846FD9">
            <w:pPr>
              <w:pStyle w:val="ListParagraph"/>
              <w:numPr>
                <w:ilvl w:val="0"/>
                <w:numId w:val="8"/>
              </w:numPr>
              <w:rPr>
                <w:rStyle w:val="Strong"/>
                <w:b w:val="0"/>
                <w:bCs w:val="0"/>
                <w:lang w:val="fr-CH"/>
              </w:rPr>
            </w:pPr>
            <w:r w:rsidRPr="00846FD9">
              <w:rPr>
                <w:rStyle w:val="Strong"/>
                <w:b w:val="0"/>
                <w:bCs w:val="0"/>
                <w:lang w:val="fr-CH"/>
              </w:rPr>
              <w:t xml:space="preserve">Ne pas réduire l’expérience à une simple « compréhension </w:t>
            </w:r>
            <w:proofErr w:type="gramStart"/>
            <w:r w:rsidRPr="00846FD9">
              <w:rPr>
                <w:rStyle w:val="Strong"/>
                <w:b w:val="0"/>
                <w:bCs w:val="0"/>
                <w:lang w:val="fr-CH"/>
              </w:rPr>
              <w:t>intellectuelle»</w:t>
            </w:r>
            <w:proofErr w:type="gramEnd"/>
            <w:r w:rsidRPr="00846FD9">
              <w:rPr>
                <w:rStyle w:val="Strong"/>
                <w:b w:val="0"/>
                <w:bCs w:val="0"/>
                <w:lang w:val="fr-CH"/>
              </w:rPr>
              <w:t>.</w:t>
            </w:r>
          </w:p>
          <w:p w14:paraId="6DF98E97" w14:textId="356ED70E" w:rsidR="00875971" w:rsidRPr="00875971" w:rsidRDefault="00846FD9" w:rsidP="00846FD9">
            <w:pPr>
              <w:pStyle w:val="ListParagraph"/>
              <w:numPr>
                <w:ilvl w:val="0"/>
                <w:numId w:val="8"/>
              </w:numPr>
              <w:rPr>
                <w:lang w:val="fr-CH"/>
              </w:rPr>
            </w:pPr>
            <w:r w:rsidRPr="00846FD9">
              <w:rPr>
                <w:rStyle w:val="Strong"/>
                <w:b w:val="0"/>
                <w:bCs w:val="0"/>
                <w:lang w:val="fr-CH"/>
              </w:rPr>
              <w:t>Ne pas encourager à revivre l’expérience psychédélique pour retrouver un insight déjà vécu.</w:t>
            </w:r>
          </w:p>
        </w:tc>
      </w:tr>
    </w:tbl>
    <w:p w14:paraId="702C239D" w14:textId="77777777" w:rsidR="001E177A" w:rsidRPr="007160C7" w:rsidRDefault="001E177A">
      <w:pPr>
        <w:rPr>
          <w:rFonts w:ascii="Arial" w:hAnsi="Arial" w:cs="Arial"/>
          <w:lang w:val="fr-CH"/>
        </w:rPr>
      </w:pPr>
    </w:p>
    <w:sectPr w:rsidR="001E177A" w:rsidRPr="007160C7" w:rsidSect="007160C7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D799F" w14:textId="77777777" w:rsidR="00241CDB" w:rsidRDefault="00241CDB" w:rsidP="007160C7">
      <w:pPr>
        <w:spacing w:after="0" w:line="240" w:lineRule="auto"/>
      </w:pPr>
      <w:r>
        <w:separator/>
      </w:r>
    </w:p>
  </w:endnote>
  <w:endnote w:type="continuationSeparator" w:id="0">
    <w:p w14:paraId="74ADE0B9" w14:textId="77777777" w:rsidR="00241CDB" w:rsidRDefault="00241CDB" w:rsidP="00716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5ED6A" w14:textId="77777777" w:rsidR="00241CDB" w:rsidRDefault="00241CDB" w:rsidP="007160C7">
      <w:pPr>
        <w:spacing w:after="0" w:line="240" w:lineRule="auto"/>
      </w:pPr>
      <w:r>
        <w:separator/>
      </w:r>
    </w:p>
  </w:footnote>
  <w:footnote w:type="continuationSeparator" w:id="0">
    <w:p w14:paraId="16C72AA2" w14:textId="77777777" w:rsidR="00241CDB" w:rsidRDefault="00241CDB" w:rsidP="00716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A6A9D" w14:textId="66D9C87D" w:rsidR="007160C7" w:rsidRDefault="007160C7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29D13F0" wp14:editId="6A2FCD81">
          <wp:simplePos x="0" y="0"/>
          <wp:positionH relativeFrom="column">
            <wp:posOffset>2993924</wp:posOffset>
          </wp:positionH>
          <wp:positionV relativeFrom="paragraph">
            <wp:posOffset>-184150</wp:posOffset>
          </wp:positionV>
          <wp:extent cx="939800" cy="450215"/>
          <wp:effectExtent l="0" t="0" r="0" b="0"/>
          <wp:wrapSquare wrapText="bothSides"/>
          <wp:docPr id="1219468459" name="Picture 2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7137981" name="Picture 2" descr="A logo for a university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800" cy="450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F8DAF28" wp14:editId="487894AE">
          <wp:simplePos x="0" y="0"/>
          <wp:positionH relativeFrom="margin">
            <wp:posOffset>1815999</wp:posOffset>
          </wp:positionH>
          <wp:positionV relativeFrom="margin">
            <wp:posOffset>-777240</wp:posOffset>
          </wp:positionV>
          <wp:extent cx="1034042" cy="689361"/>
          <wp:effectExtent l="0" t="0" r="0" b="0"/>
          <wp:wrapSquare wrapText="bothSides"/>
          <wp:docPr id="1247721777" name="Picture 1" descr="A logo for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515857" name="Picture 1" descr="A logo for a university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042" cy="6893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F7A3AC" w14:textId="63CAE610" w:rsidR="007160C7" w:rsidRDefault="007160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D013A"/>
    <w:multiLevelType w:val="multilevel"/>
    <w:tmpl w:val="8BCA5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17369D6"/>
    <w:multiLevelType w:val="hybridMultilevel"/>
    <w:tmpl w:val="E6E22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E170C"/>
    <w:multiLevelType w:val="multilevel"/>
    <w:tmpl w:val="568250D2"/>
    <w:lvl w:ilvl="0">
      <w:start w:val="1"/>
      <w:numFmt w:val="decimal"/>
      <w:lvlText w:val="%1."/>
      <w:lvlJc w:val="left"/>
      <w:pPr>
        <w:ind w:left="460" w:hanging="460"/>
      </w:pPr>
      <w:rPr>
        <w:rFonts w:eastAsiaTheme="majorEastAsia" w:cstheme="majorBidi" w:hint="default"/>
        <w:color w:val="808080" w:themeColor="background1" w:themeShade="8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ajorEastAsia" w:cstheme="majorBidi" w:hint="default"/>
        <w:color w:val="808080" w:themeColor="background1" w:themeShade="80"/>
        <w:sz w:val="28"/>
      </w:rPr>
    </w:lvl>
    <w:lvl w:ilvl="3">
      <w:start w:val="1"/>
      <w:numFmt w:val="lowerLetter"/>
      <w:lvlText w:val="%1.%2.%3.%4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cstheme="majorBidi" w:hint="default"/>
        <w:color w:val="808080" w:themeColor="background1" w:themeShade="8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cstheme="majorBidi" w:hint="default"/>
        <w:color w:val="808080" w:themeColor="background1" w:themeShade="8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ajorEastAsia" w:cstheme="majorBidi" w:hint="default"/>
        <w:color w:val="808080" w:themeColor="background1" w:themeShade="80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ajorEastAsia" w:cstheme="majorBidi" w:hint="default"/>
        <w:color w:val="808080" w:themeColor="background1" w:themeShade="80"/>
        <w:sz w:val="28"/>
      </w:rPr>
    </w:lvl>
  </w:abstractNum>
  <w:abstractNum w:abstractNumId="3" w15:restartNumberingAfterBreak="0">
    <w:nsid w:val="349621CB"/>
    <w:multiLevelType w:val="hybridMultilevel"/>
    <w:tmpl w:val="AEC8DD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7C426C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742FC5"/>
    <w:multiLevelType w:val="hybridMultilevel"/>
    <w:tmpl w:val="3964F9C6"/>
    <w:lvl w:ilvl="0" w:tplc="E09E9A3E">
      <w:start w:val="1"/>
      <w:numFmt w:val="bullet"/>
      <w:pStyle w:val="Aufzhlunge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00864"/>
    <w:multiLevelType w:val="hybridMultilevel"/>
    <w:tmpl w:val="6E4CB8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2FE45CE">
      <w:numFmt w:val="bullet"/>
      <w:lvlText w:val="•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3A294D"/>
    <w:multiLevelType w:val="hybridMultilevel"/>
    <w:tmpl w:val="A3707706"/>
    <w:lvl w:ilvl="0" w:tplc="754C4338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0479828">
    <w:abstractNumId w:val="4"/>
  </w:num>
  <w:num w:numId="2" w16cid:durableId="1167750163">
    <w:abstractNumId w:val="2"/>
  </w:num>
  <w:num w:numId="3" w16cid:durableId="1761364600">
    <w:abstractNumId w:val="2"/>
  </w:num>
  <w:num w:numId="4" w16cid:durableId="1936985357">
    <w:abstractNumId w:val="0"/>
  </w:num>
  <w:num w:numId="5" w16cid:durableId="862671268">
    <w:abstractNumId w:val="3"/>
  </w:num>
  <w:num w:numId="6" w16cid:durableId="1499298696">
    <w:abstractNumId w:val="5"/>
  </w:num>
  <w:num w:numId="7" w16cid:durableId="1027221653">
    <w:abstractNumId w:val="1"/>
  </w:num>
  <w:num w:numId="8" w16cid:durableId="1320183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C7"/>
    <w:rsid w:val="00045220"/>
    <w:rsid w:val="0005192D"/>
    <w:rsid w:val="000A2A3D"/>
    <w:rsid w:val="000D1DEC"/>
    <w:rsid w:val="000D491A"/>
    <w:rsid w:val="001659FC"/>
    <w:rsid w:val="001744BC"/>
    <w:rsid w:val="001A3F63"/>
    <w:rsid w:val="001A6654"/>
    <w:rsid w:val="001D6C19"/>
    <w:rsid w:val="001E177A"/>
    <w:rsid w:val="00222942"/>
    <w:rsid w:val="00241C72"/>
    <w:rsid w:val="00241CDB"/>
    <w:rsid w:val="002A53DD"/>
    <w:rsid w:val="002A7E50"/>
    <w:rsid w:val="003503B1"/>
    <w:rsid w:val="003534D9"/>
    <w:rsid w:val="003A0904"/>
    <w:rsid w:val="003B2861"/>
    <w:rsid w:val="00426B37"/>
    <w:rsid w:val="00436335"/>
    <w:rsid w:val="004E4178"/>
    <w:rsid w:val="004F011D"/>
    <w:rsid w:val="004F2D15"/>
    <w:rsid w:val="005276BE"/>
    <w:rsid w:val="005673B7"/>
    <w:rsid w:val="00577C42"/>
    <w:rsid w:val="005833DB"/>
    <w:rsid w:val="00584C61"/>
    <w:rsid w:val="00586113"/>
    <w:rsid w:val="0059699F"/>
    <w:rsid w:val="005D0717"/>
    <w:rsid w:val="005D5AFF"/>
    <w:rsid w:val="006546B6"/>
    <w:rsid w:val="007160C7"/>
    <w:rsid w:val="00772059"/>
    <w:rsid w:val="007778E8"/>
    <w:rsid w:val="007B2850"/>
    <w:rsid w:val="007B5D95"/>
    <w:rsid w:val="007D13A4"/>
    <w:rsid w:val="007D1F76"/>
    <w:rsid w:val="00815296"/>
    <w:rsid w:val="00846FD9"/>
    <w:rsid w:val="00875971"/>
    <w:rsid w:val="008811EE"/>
    <w:rsid w:val="008A1C8E"/>
    <w:rsid w:val="008C0A66"/>
    <w:rsid w:val="008D4C61"/>
    <w:rsid w:val="009455CF"/>
    <w:rsid w:val="00970CCA"/>
    <w:rsid w:val="0098708B"/>
    <w:rsid w:val="009A14F4"/>
    <w:rsid w:val="009C36C2"/>
    <w:rsid w:val="009D7047"/>
    <w:rsid w:val="009E5F04"/>
    <w:rsid w:val="00A27F37"/>
    <w:rsid w:val="00A6413F"/>
    <w:rsid w:val="00A72E7F"/>
    <w:rsid w:val="00A80139"/>
    <w:rsid w:val="00A8281B"/>
    <w:rsid w:val="00AB678B"/>
    <w:rsid w:val="00AC7814"/>
    <w:rsid w:val="00B14730"/>
    <w:rsid w:val="00B16474"/>
    <w:rsid w:val="00B61972"/>
    <w:rsid w:val="00BA7158"/>
    <w:rsid w:val="00C12A7A"/>
    <w:rsid w:val="00C43178"/>
    <w:rsid w:val="00C5408E"/>
    <w:rsid w:val="00C67EB9"/>
    <w:rsid w:val="00C77F65"/>
    <w:rsid w:val="00C954D0"/>
    <w:rsid w:val="00CA17BC"/>
    <w:rsid w:val="00CA331E"/>
    <w:rsid w:val="00CA7CF1"/>
    <w:rsid w:val="00CC1CD7"/>
    <w:rsid w:val="00CD29A1"/>
    <w:rsid w:val="00CD55BF"/>
    <w:rsid w:val="00D010F7"/>
    <w:rsid w:val="00D435B6"/>
    <w:rsid w:val="00D5255F"/>
    <w:rsid w:val="00D66641"/>
    <w:rsid w:val="00DC016A"/>
    <w:rsid w:val="00E01112"/>
    <w:rsid w:val="00E726D4"/>
    <w:rsid w:val="00E94527"/>
    <w:rsid w:val="00ED0A09"/>
    <w:rsid w:val="00F165A8"/>
    <w:rsid w:val="00F20294"/>
    <w:rsid w:val="00F55984"/>
    <w:rsid w:val="00F63497"/>
    <w:rsid w:val="00F66D86"/>
    <w:rsid w:val="00F754C7"/>
    <w:rsid w:val="00FB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CD6DB"/>
  <w15:chartTrackingRefBased/>
  <w15:docId w15:val="{E433F4BF-AC0B-9940-ABD3-D2A1D4EB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654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9FC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1F76"/>
    <w:pPr>
      <w:spacing w:before="240" w:after="80"/>
      <w:outlineLvl w:val="1"/>
    </w:pPr>
    <w:rPr>
      <w:rFonts w:eastAsiaTheme="minorHAnsi"/>
      <w:smallCaps/>
      <w:spacing w:val="5"/>
      <w:kern w:val="2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D1F76"/>
    <w:pPr>
      <w:spacing w:after="0"/>
      <w:outlineLvl w:val="2"/>
    </w:pPr>
    <w:rPr>
      <w:rFonts w:eastAsiaTheme="minorHAnsi"/>
      <w:smallCaps/>
      <w:spacing w:val="5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41C72"/>
    <w:pPr>
      <w:spacing w:before="240" w:after="0"/>
      <w:outlineLvl w:val="3"/>
    </w:pPr>
    <w:rPr>
      <w:rFonts w:ascii="Arial" w:eastAsiaTheme="minorHAnsi" w:hAnsi="Arial"/>
      <w:i/>
      <w:smallCaps/>
      <w:spacing w:val="10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1F76"/>
    <w:rPr>
      <w:smallCaps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659FC"/>
    <w:rPr>
      <w:smallCaps/>
      <w:spacing w:val="5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160C7"/>
    <w:pPr>
      <w:pBdr>
        <w:top w:val="single" w:sz="12" w:space="1" w:color="E97132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60C7"/>
    <w:rPr>
      <w:rFonts w:eastAsiaTheme="minorEastAsia"/>
      <w:smallCaps/>
      <w:kern w:val="0"/>
      <w:sz w:val="48"/>
      <w:szCs w:val="4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D1F76"/>
    <w:rPr>
      <w:smallCaps/>
      <w:spacing w:val="5"/>
    </w:rPr>
  </w:style>
  <w:style w:type="paragraph" w:customStyle="1" w:styleId="Aufzhlungen">
    <w:name w:val="Aufzählungen"/>
    <w:basedOn w:val="ListParagraph"/>
    <w:qFormat/>
    <w:rsid w:val="00AC781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AC7814"/>
    <w:pPr>
      <w:ind w:left="720"/>
      <w:contextualSpacing/>
    </w:pPr>
  </w:style>
  <w:style w:type="paragraph" w:customStyle="1" w:styleId="ErsterUntertitel">
    <w:name w:val="Erster Untertitel"/>
    <w:basedOn w:val="Normal"/>
    <w:autoRedefine/>
    <w:qFormat/>
    <w:rsid w:val="00CD55BF"/>
    <w:rPr>
      <w:color w:val="808080" w:themeColor="background1" w:themeShade="80"/>
      <w:sz w:val="28"/>
    </w:rPr>
  </w:style>
  <w:style w:type="paragraph" w:customStyle="1" w:styleId="Style1">
    <w:name w:val="Style1"/>
    <w:basedOn w:val="Heading4"/>
    <w:autoRedefine/>
    <w:qFormat/>
    <w:rsid w:val="00CD55BF"/>
    <w:rPr>
      <w:color w:val="808080" w:themeColor="background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241C72"/>
    <w:rPr>
      <w:rFonts w:ascii="Arial" w:hAnsi="Arial"/>
      <w:i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0C7"/>
    <w:rPr>
      <w:rFonts w:eastAsiaTheme="majorEastAsia" w:cstheme="majorBidi"/>
      <w:color w:val="0F4761" w:themeColor="accent1" w:themeShade="BF"/>
      <w:kern w:val="0"/>
      <w:sz w:val="2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0C7"/>
    <w:rPr>
      <w:rFonts w:eastAsiaTheme="majorEastAsia" w:cstheme="majorBidi"/>
      <w:i/>
      <w:iCs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0C7"/>
    <w:rPr>
      <w:rFonts w:eastAsiaTheme="majorEastAsia" w:cstheme="majorBidi"/>
      <w:color w:val="595959" w:themeColor="text1" w:themeTint="A6"/>
      <w:kern w:val="0"/>
      <w:sz w:val="20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0C7"/>
    <w:rPr>
      <w:rFonts w:eastAsiaTheme="majorEastAsia" w:cstheme="majorBidi"/>
      <w:i/>
      <w:iCs/>
      <w:color w:val="272727" w:themeColor="text1" w:themeTint="D8"/>
      <w:kern w:val="0"/>
      <w:sz w:val="20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0C7"/>
    <w:rPr>
      <w:rFonts w:eastAsiaTheme="majorEastAsia" w:cstheme="majorBidi"/>
      <w:color w:val="272727" w:themeColor="text1" w:themeTint="D8"/>
      <w:kern w:val="0"/>
      <w:sz w:val="20"/>
      <w:szCs w:val="2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0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0C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160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0C7"/>
    <w:rPr>
      <w:rFonts w:eastAsiaTheme="minorEastAsia"/>
      <w:i/>
      <w:iCs/>
      <w:color w:val="404040" w:themeColor="text1" w:themeTint="BF"/>
      <w:kern w:val="0"/>
      <w:sz w:val="20"/>
      <w:szCs w:val="2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160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0C7"/>
    <w:rPr>
      <w:rFonts w:eastAsiaTheme="minorEastAsia"/>
      <w:i/>
      <w:iCs/>
      <w:color w:val="0F4761" w:themeColor="accent1" w:themeShade="BF"/>
      <w:kern w:val="0"/>
      <w:sz w:val="20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160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60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0C7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71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83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H" w:eastAsia="en-GB"/>
    </w:rPr>
  </w:style>
  <w:style w:type="character" w:styleId="Strong">
    <w:name w:val="Strong"/>
    <w:basedOn w:val="DefaultParagraphFont"/>
    <w:uiPriority w:val="22"/>
    <w:qFormat/>
    <w:rsid w:val="005833DB"/>
    <w:rPr>
      <w:b/>
      <w:bCs/>
    </w:rPr>
  </w:style>
  <w:style w:type="character" w:customStyle="1" w:styleId="apple-converted-space">
    <w:name w:val="apple-converted-space"/>
    <w:basedOn w:val="DefaultParagraphFont"/>
    <w:rsid w:val="00583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Fabio Zullino</dc:creator>
  <cp:keywords/>
  <dc:description/>
  <cp:lastModifiedBy>Daniele Fabio Zullino</cp:lastModifiedBy>
  <cp:revision>2</cp:revision>
  <dcterms:created xsi:type="dcterms:W3CDTF">2025-10-06T13:26:00Z</dcterms:created>
  <dcterms:modified xsi:type="dcterms:W3CDTF">2025-10-06T13:26:00Z</dcterms:modified>
</cp:coreProperties>
</file>