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1ED39885" w:rsidR="007160C7" w:rsidRPr="005833DB" w:rsidRDefault="00ED67F2" w:rsidP="007160C7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 w:rsidRPr="00ED67F2">
        <w:rPr>
          <w:lang w:val="fr-CH"/>
        </w:rPr>
        <w:t>Choix de la substance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Pr="00527CF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527CF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9E2C29" w14:paraId="19E0320A" w14:textId="77777777" w:rsidTr="007160C7">
        <w:tc>
          <w:tcPr>
            <w:tcW w:w="2500" w:type="pct"/>
          </w:tcPr>
          <w:p w14:paraId="48E843A8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Expliquer clairement les différences principales : durée, intensité, effets secondaires, intégration post-séance.</w:t>
            </w:r>
          </w:p>
          <w:p w14:paraId="11786A50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Aider le patient à choisir en fonction de son profil personnel, de son histoire, de ses attentes et de ses capacités d’endurance psychique.</w:t>
            </w:r>
          </w:p>
          <w:p w14:paraId="53933037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Prendre en compte les préférences subjectives du patient et du thérapeute.</w:t>
            </w:r>
          </w:p>
          <w:p w14:paraId="50AD8DD0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Discuter de la durée de l’expérience : 8–12 h pour le LSD, 4–6 h pour la psilocybine, et ses implications logistiques et psychologiques.</w:t>
            </w:r>
          </w:p>
          <w:p w14:paraId="2D264A9E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Évaluer les contre-indications physiologiques (ex. : troubles cardiovasculaires, sensibilité gastro-intestinale).</w:t>
            </w:r>
          </w:p>
          <w:p w14:paraId="31095203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Mentionner les effets secondaires possibles (stimulation mentale prolongée pour le LSD, nausées et activation cardiaque pour la psilocybine).</w:t>
            </w:r>
          </w:p>
          <w:p w14:paraId="4D9C02EC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 xml:space="preserve">Vérifier les représentations personnelles et culturelles du patient (image du LSD vs. </w:t>
            </w:r>
            <w:proofErr w:type="gramStart"/>
            <w:r w:rsidRPr="006E0436">
              <w:rPr>
                <w:rStyle w:val="Strong"/>
                <w:b w:val="0"/>
                <w:bCs w:val="0"/>
                <w:lang w:val="fr-CH"/>
              </w:rPr>
              <w:t>naturalité</w:t>
            </w:r>
            <w:proofErr w:type="gramEnd"/>
            <w:r w:rsidRPr="006E0436">
              <w:rPr>
                <w:rStyle w:val="Strong"/>
                <w:b w:val="0"/>
                <w:bCs w:val="0"/>
                <w:lang w:val="fr-CH"/>
              </w:rPr>
              <w:t xml:space="preserve"> perçue de la psilocybine).</w:t>
            </w:r>
          </w:p>
          <w:p w14:paraId="7528FCA9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Intégrer dans la discussion des aspects économiques réalistes, notamment si plusieurs séances sont envisagées.</w:t>
            </w:r>
          </w:p>
          <w:p w14:paraId="4071D2EF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lastRenderedPageBreak/>
              <w:t>Favoriser une décision partagée et argumentée, centrée sur la sécurité, la tolérance et la cohérence du parcours thérapeutique.</w:t>
            </w:r>
          </w:p>
          <w:p w14:paraId="69B5F81C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Rappeler que le cadre, l’accompagnement et l’intégration comptent davantage que la molécule elle-même.</w:t>
            </w:r>
          </w:p>
          <w:p w14:paraId="58D02F52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Encourager une attitude exploratoire : considérer la première substance comme une étape, non un choix définitif.</w:t>
            </w:r>
          </w:p>
          <w:p w14:paraId="45B43C3F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Insister sur la nécessité d’un encadrement clinique strict et d’un suivi médical.</w:t>
            </w:r>
          </w:p>
          <w:p w14:paraId="6A1620EA" w14:textId="2E782676" w:rsidR="007160C7" w:rsidRPr="005833DB" w:rsidRDefault="006E0436" w:rsidP="006E0436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Documenter le raisonnement du choix dans le dossier clinique.</w:t>
            </w:r>
          </w:p>
        </w:tc>
        <w:tc>
          <w:tcPr>
            <w:tcW w:w="2500" w:type="pct"/>
          </w:tcPr>
          <w:p w14:paraId="62EB54E8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lastRenderedPageBreak/>
              <w:t>Laisser le patient croire que le choix de la molécule détermine le succès du traitement.</w:t>
            </w:r>
          </w:p>
          <w:p w14:paraId="23721037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Ignorer la durée de l’expérience et ses implications pratiques (fatigue, encadrement, logistique).</w:t>
            </w:r>
          </w:p>
          <w:p w14:paraId="69E4E0A0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Sous-estimer les effets secondaires potentiels ou ne pas en parler ouvertement.</w:t>
            </w:r>
          </w:p>
          <w:p w14:paraId="0C8A4161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Négliger la dimension économique ou éviter d’en discuter avec le patient.</w:t>
            </w:r>
          </w:p>
          <w:p w14:paraId="2EFAE541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Renforcer les préjugés culturels ou médiatiques autour du LSD ou de la psilocybine.</w:t>
            </w:r>
          </w:p>
          <w:p w14:paraId="446A4BB8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Exclure le patient de la décision finale ou minimiser son ressenti et ses appréhensions.</w:t>
            </w:r>
          </w:p>
          <w:p w14:paraId="3CE7B367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Suggérer une substance sans vérifier la tolérance antérieure ou les expériences passées du patient.</w:t>
            </w:r>
          </w:p>
          <w:p w14:paraId="1FDA3CEE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Omettre de préparer psychologiquement le patient à la durée et à la variabilité de l’expérience.</w:t>
            </w:r>
          </w:p>
          <w:p w14:paraId="12602705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Laisser entendre qu’une séance courte est forcément plus “sûre” ou qu’une longue est plus “efficace”.</w:t>
            </w:r>
          </w:p>
          <w:p w14:paraId="0DC592E8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t>Négliger le rôle du thérapeute pendant et après la séance, au profit d’une discussion purement pharmacologique.</w:t>
            </w:r>
          </w:p>
          <w:p w14:paraId="6FA18893" w14:textId="77777777" w:rsidR="006E0436" w:rsidRPr="006E0436" w:rsidRDefault="006E0436" w:rsidP="006E0436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6E0436">
              <w:rPr>
                <w:rStyle w:val="Strong"/>
                <w:b w:val="0"/>
                <w:bCs w:val="0"/>
                <w:lang w:val="fr-CH"/>
              </w:rPr>
              <w:lastRenderedPageBreak/>
              <w:t>Éviter de mentionner que les expériences subjectives entre LSD et psilocybine sont difficilement distinguables en dehors de la durée.</w:t>
            </w:r>
          </w:p>
          <w:p w14:paraId="6DF98E97" w14:textId="77777777" w:rsidR="007160C7" w:rsidRPr="00527CF7" w:rsidRDefault="007160C7" w:rsidP="006E0436">
            <w:pPr>
              <w:pStyle w:val="ListParagraph"/>
              <w:rPr>
                <w:rFonts w:ascii="Arial" w:hAnsi="Arial" w:cs="Arial"/>
                <w:lang w:val="fr-CH"/>
              </w:rPr>
            </w:pP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AD96B" w14:textId="77777777" w:rsidR="00D56FAA" w:rsidRDefault="00D56FAA" w:rsidP="007160C7">
      <w:pPr>
        <w:spacing w:after="0" w:line="240" w:lineRule="auto"/>
      </w:pPr>
      <w:r>
        <w:separator/>
      </w:r>
    </w:p>
  </w:endnote>
  <w:endnote w:type="continuationSeparator" w:id="0">
    <w:p w14:paraId="0968DE6F" w14:textId="77777777" w:rsidR="00D56FAA" w:rsidRDefault="00D56FAA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CE2C9" w14:textId="77777777" w:rsidR="00D56FAA" w:rsidRDefault="00D56FAA" w:rsidP="007160C7">
      <w:pPr>
        <w:spacing w:after="0" w:line="240" w:lineRule="auto"/>
      </w:pPr>
      <w:r>
        <w:separator/>
      </w:r>
    </w:p>
  </w:footnote>
  <w:footnote w:type="continuationSeparator" w:id="0">
    <w:p w14:paraId="591F3CB8" w14:textId="77777777" w:rsidR="00D56FAA" w:rsidRDefault="00D56FAA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E177A"/>
    <w:rsid w:val="00222942"/>
    <w:rsid w:val="00241C72"/>
    <w:rsid w:val="002A53DD"/>
    <w:rsid w:val="002A7E50"/>
    <w:rsid w:val="003503B1"/>
    <w:rsid w:val="003534D9"/>
    <w:rsid w:val="003A0904"/>
    <w:rsid w:val="003B2861"/>
    <w:rsid w:val="00436335"/>
    <w:rsid w:val="004E4178"/>
    <w:rsid w:val="004F011D"/>
    <w:rsid w:val="00527CF7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6E0436"/>
    <w:rsid w:val="007160C7"/>
    <w:rsid w:val="00772059"/>
    <w:rsid w:val="007B2850"/>
    <w:rsid w:val="007B5D95"/>
    <w:rsid w:val="007D13A4"/>
    <w:rsid w:val="007D1F76"/>
    <w:rsid w:val="008811EE"/>
    <w:rsid w:val="008A1C8E"/>
    <w:rsid w:val="008C0A66"/>
    <w:rsid w:val="008D4C61"/>
    <w:rsid w:val="009455CF"/>
    <w:rsid w:val="00970CCA"/>
    <w:rsid w:val="0098708B"/>
    <w:rsid w:val="009A14F4"/>
    <w:rsid w:val="009D7047"/>
    <w:rsid w:val="009E2C29"/>
    <w:rsid w:val="009E5F04"/>
    <w:rsid w:val="00A27F37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D29A1"/>
    <w:rsid w:val="00CD55BF"/>
    <w:rsid w:val="00D010F7"/>
    <w:rsid w:val="00D435B6"/>
    <w:rsid w:val="00D5255F"/>
    <w:rsid w:val="00D56FAA"/>
    <w:rsid w:val="00D66641"/>
    <w:rsid w:val="00DC016A"/>
    <w:rsid w:val="00E726D4"/>
    <w:rsid w:val="00E94527"/>
    <w:rsid w:val="00ED67F2"/>
    <w:rsid w:val="00F165A8"/>
    <w:rsid w:val="00F20294"/>
    <w:rsid w:val="00F55984"/>
    <w:rsid w:val="00F63497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3</cp:revision>
  <dcterms:created xsi:type="dcterms:W3CDTF">2025-10-05T07:08:00Z</dcterms:created>
  <dcterms:modified xsi:type="dcterms:W3CDTF">2025-10-05T07:11:00Z</dcterms:modified>
</cp:coreProperties>
</file>