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1A29A925" w:rsidR="007160C7" w:rsidRPr="005833DB" w:rsidRDefault="00B3133B" w:rsidP="007160C7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B3133B">
        <w:rPr>
          <w:lang w:val="fr-CH"/>
        </w:rPr>
        <w:t>Choix des doses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Pr="00527CF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527CF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9E2C29" w14:paraId="19E0320A" w14:textId="77777777" w:rsidTr="007160C7">
        <w:tc>
          <w:tcPr>
            <w:tcW w:w="2500" w:type="pct"/>
          </w:tcPr>
          <w:p w14:paraId="428E39A2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Évaluer soigneusement la dose initiale en fonction de la sensibilité individuelle, de l’expérience préalable et des objectifs thérapeutiques.</w:t>
            </w:r>
          </w:p>
          <w:p w14:paraId="6545E1FA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Commencer avec une dose modérée (LSD : 100–125 µg ; psilocybine : 15–25 mg) afin d’assurer une expérience à la fois immersive et gérable.</w:t>
            </w:r>
          </w:p>
          <w:p w14:paraId="44FB2F3A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Adapter la dose progressivement d’une séance à l’autre selon la réponse du patient (↑ ou ↓ de 25–50 µg LSD / 5–10 mg psilocybine).</w:t>
            </w:r>
          </w:p>
          <w:p w14:paraId="734FA420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Observer attentivement le retour subjectif du patient : intensité vécue, accès aux émotions, tolérance, sentiment d’incomplétude.</w:t>
            </w:r>
          </w:p>
          <w:p w14:paraId="51585A95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Documenter la justification clinique de chaque ajustement de dose dans le dossier.</w:t>
            </w:r>
          </w:p>
          <w:p w14:paraId="4597E2D1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Discuter avec le patient de la durée et de la dynamique attendue selon la substance (LSD plus long, psilocybine plus courte).</w:t>
            </w:r>
          </w:p>
          <w:p w14:paraId="6EE539D9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Informer sur les effets attendus et possibles : intensité émotionnelle, distorsions perceptuelles, dissolution de l’ego, anxiété passagère.</w:t>
            </w:r>
          </w:p>
          <w:p w14:paraId="6AE9366F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 xml:space="preserve">Soutenir une préparation renforcée avant toute augmentation de dose, </w:t>
            </w:r>
            <w:r w:rsidRPr="00CE2836">
              <w:rPr>
                <w:rStyle w:val="Strong"/>
                <w:b w:val="0"/>
                <w:bCs w:val="0"/>
                <w:lang w:val="fr-CH"/>
              </w:rPr>
              <w:lastRenderedPageBreak/>
              <w:t>et une intégration approfondie après les séances plus intenses.</w:t>
            </w:r>
          </w:p>
          <w:p w14:paraId="0FDA433A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Tenir compte de l’état psychologique du patient : anxiété, contrôle, rigidité cognitive ou affective.</w:t>
            </w:r>
          </w:p>
          <w:p w14:paraId="4351C822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Adapter la dose aux objectifs thérapeutiques : introspection modérée ou exploration plus profonde/mystique.</w:t>
            </w:r>
          </w:p>
          <w:p w14:paraId="3377A5CE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Maintenir un cadre clinique strict avec surveillance médicale et soutien continu.</w:t>
            </w:r>
          </w:p>
          <w:p w14:paraId="1020A76E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Valoriser la progressivité et la sécurité, en expliquant qu’une montée graduelle maximise les bénéfices thérapeutiques.</w:t>
            </w:r>
          </w:p>
          <w:p w14:paraId="4FC3E766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Utiliser la dose comme outil thérapeutique, non comme indicateur de courage ou de compétence.</w:t>
            </w:r>
          </w:p>
          <w:p w14:paraId="299115FD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Préparer l’équipe à gérer les effets intenses, notamment lors des doses élevées (200 µg LSD ou 30–35 mg psilocybine).</w:t>
            </w:r>
          </w:p>
          <w:p w14:paraId="6A1620EA" w14:textId="3E054DE6" w:rsidR="007160C7" w:rsidRPr="005833DB" w:rsidRDefault="00CE2836" w:rsidP="00CE2836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Encourager la verbalisation post-séance pour ancrer les apprentissages émotionnels et réduire le risque de désorganisation psychique.</w:t>
            </w:r>
          </w:p>
        </w:tc>
        <w:tc>
          <w:tcPr>
            <w:tcW w:w="2500" w:type="pct"/>
          </w:tcPr>
          <w:p w14:paraId="61531AD3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lastRenderedPageBreak/>
              <w:t>Débuter avec des doses élevées sans connaître la tolérance du patient.</w:t>
            </w:r>
          </w:p>
          <w:p w14:paraId="4C38F3A2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Fixer une dose identique pour tous les patients sans individualisation.</w:t>
            </w:r>
          </w:p>
          <w:p w14:paraId="3FE765AB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Baser le choix du dosage uniquement sur les études cliniques sans tenir compte du contexte psychothérapeutique réel.</w:t>
            </w:r>
          </w:p>
          <w:p w14:paraId="2B342677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Confondre intensité et efficacité : une expérience très forte n’est pas toujours plus thérapeutique.</w:t>
            </w:r>
          </w:p>
          <w:p w14:paraId="0AB478CD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Sous-doser systématiquement au point de priver le patient d’une expérience réellement transformative.</w:t>
            </w:r>
          </w:p>
          <w:p w14:paraId="488B1495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Augmenter brutalement la dose d’une séance à l’autre sans évaluation clinique approfondie.</w:t>
            </w:r>
          </w:p>
          <w:p w14:paraId="1AA1763E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Ignorer les effets secondaires (nausées, tachycardie, confusion temporaire, anxiété marquée).</w:t>
            </w:r>
          </w:p>
          <w:p w14:paraId="3F41E165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Pousser le patient vers des doses plus fortes pour provoquer une “expérience mystique”.</w:t>
            </w:r>
          </w:p>
          <w:p w14:paraId="5D70B45C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Laisser croire qu’il existe une “dose idéale” universelle ou une recette standardisée.</w:t>
            </w:r>
          </w:p>
          <w:p w14:paraId="47C41100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Négliger la préparation psychologique avant l’augmentation du dosage.</w:t>
            </w:r>
          </w:p>
          <w:p w14:paraId="47CD1633" w14:textId="1E36C1DF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 xml:space="preserve">Augmenter la dose pour compenser un échec d’intégration </w:t>
            </w:r>
          </w:p>
          <w:p w14:paraId="21D97D45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lastRenderedPageBreak/>
              <w:t>Ignorer les signaux de surcharge psychique observés lors des séances précédentes.</w:t>
            </w:r>
          </w:p>
          <w:p w14:paraId="2FA77245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Se fier exclusivement à la demande du patient sans analyse clinique.</w:t>
            </w:r>
          </w:p>
          <w:p w14:paraId="45D78F5E" w14:textId="77777777" w:rsidR="00CE2836" w:rsidRPr="00CE28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Utiliser des doses très élevées (&gt;300 µg LSD ou &gt;40 mg psilocybine) en dehors d’un cadre exceptionnel et rigoureusement encadré.</w:t>
            </w:r>
          </w:p>
          <w:p w14:paraId="6FA18893" w14:textId="79A3DBDE" w:rsidR="006E0436" w:rsidRPr="006E0436" w:rsidRDefault="00CE2836" w:rsidP="00CE28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CE2836">
              <w:rPr>
                <w:rStyle w:val="Strong"/>
                <w:b w:val="0"/>
                <w:bCs w:val="0"/>
                <w:lang w:val="fr-CH"/>
              </w:rPr>
              <w:t>Négliger le suivi post-expérience après une séance à forte intensité émotionnelle ou mystique.</w:t>
            </w:r>
          </w:p>
          <w:p w14:paraId="6DF98E97" w14:textId="77777777" w:rsidR="007160C7" w:rsidRPr="00527CF7" w:rsidRDefault="007160C7" w:rsidP="006E0436">
            <w:pPr>
              <w:pStyle w:val="ListParagraph"/>
              <w:rPr>
                <w:rFonts w:ascii="Arial" w:hAnsi="Arial" w:cs="Arial"/>
                <w:lang w:val="fr-CH"/>
              </w:rPr>
            </w:pP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8C2A2" w14:textId="77777777" w:rsidR="00A07C9B" w:rsidRDefault="00A07C9B" w:rsidP="007160C7">
      <w:pPr>
        <w:spacing w:after="0" w:line="240" w:lineRule="auto"/>
      </w:pPr>
      <w:r>
        <w:separator/>
      </w:r>
    </w:p>
  </w:endnote>
  <w:endnote w:type="continuationSeparator" w:id="0">
    <w:p w14:paraId="6767355D" w14:textId="77777777" w:rsidR="00A07C9B" w:rsidRDefault="00A07C9B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11DE9" w14:textId="77777777" w:rsidR="00A07C9B" w:rsidRDefault="00A07C9B" w:rsidP="007160C7">
      <w:pPr>
        <w:spacing w:after="0" w:line="240" w:lineRule="auto"/>
      </w:pPr>
      <w:r>
        <w:separator/>
      </w:r>
    </w:p>
  </w:footnote>
  <w:footnote w:type="continuationSeparator" w:id="0">
    <w:p w14:paraId="30C7F1D3" w14:textId="77777777" w:rsidR="00A07C9B" w:rsidRDefault="00A07C9B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CF7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6E0436"/>
    <w:rsid w:val="007160C7"/>
    <w:rsid w:val="00772059"/>
    <w:rsid w:val="007B2850"/>
    <w:rsid w:val="007B5D95"/>
    <w:rsid w:val="007D13A4"/>
    <w:rsid w:val="007D1F76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2C29"/>
    <w:rsid w:val="009E5F04"/>
    <w:rsid w:val="00A07C9B"/>
    <w:rsid w:val="00A27F37"/>
    <w:rsid w:val="00A72E7F"/>
    <w:rsid w:val="00A80139"/>
    <w:rsid w:val="00A8281B"/>
    <w:rsid w:val="00AB678B"/>
    <w:rsid w:val="00AC7814"/>
    <w:rsid w:val="00B14730"/>
    <w:rsid w:val="00B16474"/>
    <w:rsid w:val="00B3133B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CE2836"/>
    <w:rsid w:val="00D010F7"/>
    <w:rsid w:val="00D435B6"/>
    <w:rsid w:val="00D5255F"/>
    <w:rsid w:val="00D66641"/>
    <w:rsid w:val="00DC016A"/>
    <w:rsid w:val="00E726D4"/>
    <w:rsid w:val="00E94527"/>
    <w:rsid w:val="00ED67F2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2025-10-05T07:26:00Z</dcterms:created>
  <dcterms:modified xsi:type="dcterms:W3CDTF">2025-10-05T07:28:00Z</dcterms:modified>
</cp:coreProperties>
</file>